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2B193" w14:textId="550C9C75" w:rsidR="00FC6FB6" w:rsidRDefault="00FC6FB6" w:rsidP="00FC6FB6">
      <w:pPr>
        <w:pStyle w:val="NoSpacing"/>
      </w:pPr>
      <w:r>
        <w:t>ACIP Meeting, Aug 26, 2020</w:t>
      </w:r>
    </w:p>
    <w:p w14:paraId="5FDB2438" w14:textId="41DD69B7" w:rsidR="00FC6FB6" w:rsidRDefault="00FC6FB6" w:rsidP="00FC6FB6">
      <w:pPr>
        <w:pStyle w:val="NoSpacing"/>
      </w:pPr>
      <w:r>
        <w:t>Virtual</w:t>
      </w:r>
    </w:p>
    <w:p w14:paraId="662D707D" w14:textId="2BF32E81" w:rsidR="00FC6FB6" w:rsidRDefault="00FC6FB6" w:rsidP="00FC6FB6">
      <w:pPr>
        <w:pStyle w:val="NoSpacing"/>
      </w:pPr>
      <w:r>
        <w:t>Draft minutes by Stan Grogg, DO</w:t>
      </w:r>
    </w:p>
    <w:p w14:paraId="2B4BDE7C" w14:textId="0067F179" w:rsidR="00FC6FB6" w:rsidRDefault="00FC6FB6" w:rsidP="00FC6FB6">
      <w:pPr>
        <w:pStyle w:val="NoSpacing"/>
      </w:pPr>
      <w:r>
        <w:t>American Osteopathic Association’s Liaison Member</w:t>
      </w:r>
    </w:p>
    <w:p w14:paraId="2EA76F06" w14:textId="685AF845" w:rsidR="00FC6FB6" w:rsidRDefault="00FC6FB6" w:rsidP="00FC6FB6">
      <w:pPr>
        <w:pStyle w:val="NoSpacing"/>
      </w:pPr>
    </w:p>
    <w:p w14:paraId="04F3550C" w14:textId="79B9E47F" w:rsidR="00FC6FB6" w:rsidRPr="00C71694" w:rsidRDefault="00FC6FB6" w:rsidP="00FC6FB6">
      <w:pPr>
        <w:pStyle w:val="NoSpacing"/>
        <w:rPr>
          <w:b/>
          <w:bCs/>
        </w:rPr>
      </w:pPr>
      <w:r w:rsidRPr="00C71694">
        <w:rPr>
          <w:b/>
          <w:bCs/>
        </w:rPr>
        <w:t>Coronavirus Disease 2019 (COVID-19) Vaccines</w:t>
      </w:r>
    </w:p>
    <w:p w14:paraId="2482C48F" w14:textId="638AA74D" w:rsidR="00C71694" w:rsidRDefault="00C71694" w:rsidP="00C71694">
      <w:pPr>
        <w:pStyle w:val="NoSpacing"/>
      </w:pPr>
    </w:p>
    <w:p w14:paraId="18E1B9BC" w14:textId="77777777" w:rsidR="007635B0" w:rsidRPr="00EA60FA" w:rsidRDefault="007635B0" w:rsidP="007635B0">
      <w:pPr>
        <w:pStyle w:val="NoSpacing"/>
        <w:rPr>
          <w:b/>
          <w:bCs/>
        </w:rPr>
      </w:pPr>
      <w:r w:rsidRPr="00EA60FA">
        <w:rPr>
          <w:b/>
          <w:bCs/>
        </w:rPr>
        <w:t>Introduction:</w:t>
      </w:r>
    </w:p>
    <w:p w14:paraId="3448E08A" w14:textId="36A952FE" w:rsidR="007635B0" w:rsidRDefault="00C71694" w:rsidP="007635B0">
      <w:pPr>
        <w:pStyle w:val="NoSpacing"/>
      </w:pPr>
      <w:r>
        <w:t xml:space="preserve">At least </w:t>
      </w:r>
      <w:r w:rsidRPr="007635B0">
        <w:rPr>
          <w:b/>
          <w:bCs/>
        </w:rPr>
        <w:t>200 candidate</w:t>
      </w:r>
      <w:r>
        <w:t xml:space="preserve"> vaccines are in the preclinical or clinical stage of development, including 4 candidate vaccines currently in clinical trials in the United States. </w:t>
      </w:r>
    </w:p>
    <w:p w14:paraId="68554A57" w14:textId="5DEFB740" w:rsidR="00C71694" w:rsidRDefault="00C71694" w:rsidP="007635B0">
      <w:pPr>
        <w:pStyle w:val="NoSpacing"/>
      </w:pPr>
      <w:r>
        <w:t xml:space="preserve">Ensuring that COVID-19 vaccines are safe and effective, as well as appropriately allocated and implemented, will be critical for the prevention of disease and reducing the effects of disease on society. </w:t>
      </w:r>
      <w:bookmarkStart w:id="0" w:name="_Hlk49256113"/>
    </w:p>
    <w:p w14:paraId="5056021E" w14:textId="29D453C6" w:rsidR="008A5117" w:rsidRDefault="008A5117" w:rsidP="007635B0">
      <w:pPr>
        <w:pStyle w:val="NoSpacing"/>
      </w:pPr>
      <w:r w:rsidRPr="00791482">
        <w:rPr>
          <w:b/>
          <w:bCs/>
          <w:noProof/>
        </w:rPr>
        <w:drawing>
          <wp:inline distT="0" distB="0" distL="0" distR="0" wp14:anchorId="519EA593" wp14:editId="708926D6">
            <wp:extent cx="5158307" cy="2407211"/>
            <wp:effectExtent l="0" t="0" r="444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941" cy="243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6FDD" w14:textId="77777777" w:rsidR="00C71694" w:rsidRDefault="00C71694" w:rsidP="00C71694">
      <w:pPr>
        <w:pStyle w:val="NoSpacing"/>
        <w:ind w:left="720"/>
      </w:pPr>
    </w:p>
    <w:bookmarkEnd w:id="0"/>
    <w:p w14:paraId="6E109086" w14:textId="79BA28F7" w:rsidR="002411B4" w:rsidRDefault="00C71694" w:rsidP="007635B0">
      <w:pPr>
        <w:pStyle w:val="NoSpacing"/>
        <w:rPr>
          <w:b/>
          <w:bCs/>
        </w:rPr>
      </w:pPr>
      <w:r w:rsidRPr="00C71694">
        <w:rPr>
          <w:b/>
          <w:bCs/>
        </w:rPr>
        <w:t>Summary of</w:t>
      </w:r>
      <w:r w:rsidR="007635B0">
        <w:rPr>
          <w:b/>
          <w:bCs/>
        </w:rPr>
        <w:t xml:space="preserve"> </w:t>
      </w:r>
      <w:r w:rsidR="00C0577D">
        <w:rPr>
          <w:b/>
          <w:bCs/>
        </w:rPr>
        <w:t xml:space="preserve">two </w:t>
      </w:r>
      <w:r w:rsidR="00C0577D" w:rsidRPr="00C71694">
        <w:rPr>
          <w:b/>
          <w:bCs/>
        </w:rPr>
        <w:t>vaccine</w:t>
      </w:r>
      <w:r w:rsidRPr="00C71694">
        <w:rPr>
          <w:b/>
          <w:bCs/>
        </w:rPr>
        <w:t xml:space="preserve"> candidates currently in clinical trials</w:t>
      </w:r>
    </w:p>
    <w:p w14:paraId="7FDBC678" w14:textId="202E70B6" w:rsidR="00D06C27" w:rsidRPr="00C0577D" w:rsidRDefault="007635B0" w:rsidP="00C13D54">
      <w:pPr>
        <w:pStyle w:val="NoSpacing"/>
        <w:numPr>
          <w:ilvl w:val="0"/>
          <w:numId w:val="1"/>
        </w:numPr>
      </w:pPr>
      <w:r w:rsidRPr="00C0577D">
        <w:t>mRNA-1273 by Moderna</w:t>
      </w:r>
      <w:r w:rsidR="00C13D54">
        <w:t xml:space="preserve">: </w:t>
      </w:r>
      <w:r w:rsidR="00D06C27" w:rsidRPr="00C0577D">
        <w:t>encodes for the full-length spike protein</w:t>
      </w:r>
      <w:r w:rsidR="00C13D54">
        <w:t xml:space="preserve">, </w:t>
      </w:r>
      <w:r w:rsidR="00D06C27" w:rsidRPr="00C0577D">
        <w:t xml:space="preserve">robust neutralizing antibody response in mice and non-human primates </w:t>
      </w:r>
    </w:p>
    <w:p w14:paraId="3023FC28" w14:textId="47849736" w:rsidR="00D06C27" w:rsidRPr="00C0577D" w:rsidRDefault="00D06C27" w:rsidP="00D06C27">
      <w:pPr>
        <w:pStyle w:val="NoSpacing"/>
        <w:numPr>
          <w:ilvl w:val="1"/>
          <w:numId w:val="1"/>
        </w:numPr>
      </w:pPr>
      <w:r w:rsidRPr="00C0577D">
        <w:t>No indication of enhanced respiratory disease after viral challenge</w:t>
      </w:r>
    </w:p>
    <w:p w14:paraId="44A9D00E" w14:textId="04E40183" w:rsidR="00D06C27" w:rsidRPr="00C0577D" w:rsidRDefault="00D06C27" w:rsidP="00D06C27">
      <w:pPr>
        <w:pStyle w:val="NoSpacing"/>
        <w:numPr>
          <w:ilvl w:val="1"/>
          <w:numId w:val="1"/>
        </w:numPr>
      </w:pPr>
      <w:r w:rsidRPr="00C0577D">
        <w:t>100 mcg two-dose series seroconverted all participants</w:t>
      </w:r>
    </w:p>
    <w:p w14:paraId="3A1A9EA9" w14:textId="326B3E91" w:rsidR="00D06C27" w:rsidRDefault="00D06C27" w:rsidP="00D06C27">
      <w:pPr>
        <w:pStyle w:val="NoSpacing"/>
        <w:numPr>
          <w:ilvl w:val="1"/>
          <w:numId w:val="1"/>
        </w:numPr>
      </w:pPr>
      <w:r w:rsidRPr="00C0577D">
        <w:t xml:space="preserve">Well tolerated in all age groups. </w:t>
      </w:r>
      <w:r w:rsidR="00C0577D" w:rsidRPr="00C0577D">
        <w:t>Tenderness at injection site most common adverse reaction, especially after 2</w:t>
      </w:r>
      <w:r w:rsidR="00C0577D" w:rsidRPr="00C0577D">
        <w:rPr>
          <w:vertAlign w:val="superscript"/>
        </w:rPr>
        <w:t>nd</w:t>
      </w:r>
      <w:r w:rsidR="00C0577D" w:rsidRPr="00C0577D">
        <w:t xml:space="preserve"> dose.</w:t>
      </w:r>
    </w:p>
    <w:p w14:paraId="574C1C9D" w14:textId="2D478DC2" w:rsidR="00C0577D" w:rsidRPr="00C0577D" w:rsidRDefault="00C0577D" w:rsidP="00D06C27">
      <w:pPr>
        <w:pStyle w:val="NoSpacing"/>
        <w:numPr>
          <w:ilvl w:val="1"/>
          <w:numId w:val="1"/>
        </w:numPr>
      </w:pPr>
      <w:r>
        <w:t xml:space="preserve">Plan to do further evaluation in pediatrics, </w:t>
      </w:r>
      <w:r w:rsidR="003858CB">
        <w:t>pregnancy,</w:t>
      </w:r>
      <w:r>
        <w:t xml:space="preserve"> and immune deficiencies.</w:t>
      </w:r>
    </w:p>
    <w:p w14:paraId="391FD5F3" w14:textId="5A26B59D" w:rsidR="007635B0" w:rsidRDefault="007635B0" w:rsidP="007635B0">
      <w:pPr>
        <w:pStyle w:val="NoSpacing"/>
        <w:numPr>
          <w:ilvl w:val="0"/>
          <w:numId w:val="1"/>
        </w:numPr>
      </w:pPr>
      <w:r w:rsidRPr="00C0577D">
        <w:t>Pfizer/BioNTech mRNA</w:t>
      </w:r>
    </w:p>
    <w:p w14:paraId="1A122D0B" w14:textId="225D4BA3" w:rsidR="003858CB" w:rsidRDefault="003858CB" w:rsidP="003858CB">
      <w:pPr>
        <w:pStyle w:val="NoSpacing"/>
        <w:numPr>
          <w:ilvl w:val="1"/>
          <w:numId w:val="1"/>
        </w:numPr>
      </w:pPr>
      <w:r>
        <w:t>Two clinical studies assessed the safety, tolerably, and immunogenicity of ascending dose levels (US 1/2/3 study and Germany 1/2 study)</w:t>
      </w:r>
    </w:p>
    <w:p w14:paraId="702B6814" w14:textId="2B5EF1F5" w:rsidR="00955C6B" w:rsidRDefault="00955C6B" w:rsidP="003858CB">
      <w:pPr>
        <w:pStyle w:val="NoSpacing"/>
        <w:numPr>
          <w:ilvl w:val="1"/>
          <w:numId w:val="1"/>
        </w:numPr>
      </w:pPr>
      <w:r>
        <w:t>Based on the totality of data, Pfizer chose to advance BNT162b2 at 30 ug dose levels</w:t>
      </w:r>
    </w:p>
    <w:p w14:paraId="52531A19" w14:textId="01127EF3" w:rsidR="00955C6B" w:rsidRDefault="00955C6B" w:rsidP="003858CB">
      <w:pPr>
        <w:pStyle w:val="NoSpacing"/>
        <w:numPr>
          <w:ilvl w:val="1"/>
          <w:numId w:val="1"/>
        </w:numPr>
      </w:pPr>
      <w:r>
        <w:t xml:space="preserve">Pain at injection site most common side effect for 18-55 years and 65-85 years. </w:t>
      </w:r>
    </w:p>
    <w:p w14:paraId="23B5AF69" w14:textId="1A2C6593" w:rsidR="00D5359E" w:rsidRDefault="00955C6B" w:rsidP="00AB788A">
      <w:pPr>
        <w:pStyle w:val="NoSpacing"/>
        <w:numPr>
          <w:ilvl w:val="1"/>
          <w:numId w:val="1"/>
        </w:numPr>
      </w:pPr>
      <w:r>
        <w:t>Other symptoms included fever, fatigue, headache, chills, vomiting/diarrhea, muscle pain and joint pains but no serious side effects were found.</w:t>
      </w:r>
    </w:p>
    <w:p w14:paraId="34416E34" w14:textId="7057A231" w:rsidR="00955C6B" w:rsidRDefault="00955C6B" w:rsidP="00AB788A">
      <w:pPr>
        <w:pStyle w:val="NoSpacing"/>
        <w:numPr>
          <w:ilvl w:val="1"/>
          <w:numId w:val="1"/>
        </w:numPr>
      </w:pPr>
      <w:r>
        <w:t>A robust SARS-CoV-2 50% neutralization titers after 2 doses</w:t>
      </w:r>
    </w:p>
    <w:p w14:paraId="0E380822" w14:textId="20FBC185" w:rsidR="00C6465F" w:rsidRDefault="00955C6B" w:rsidP="00AB788A">
      <w:pPr>
        <w:pStyle w:val="NoSpacing"/>
        <w:numPr>
          <w:ilvl w:val="1"/>
          <w:numId w:val="1"/>
        </w:numPr>
      </w:pPr>
      <w:r>
        <w:t>BNT16b1 induces a strong CD4+ and CD8+ cell Reponses with Th1 dominance in German trial</w:t>
      </w:r>
    </w:p>
    <w:p w14:paraId="753BC71B" w14:textId="6A102F1C" w:rsidR="00955C6B" w:rsidRDefault="00EA60FA" w:rsidP="00AB788A">
      <w:pPr>
        <w:pStyle w:val="NoSpacing"/>
        <w:numPr>
          <w:ilvl w:val="1"/>
          <w:numId w:val="1"/>
        </w:numPr>
      </w:pPr>
      <w:r>
        <w:t>Phase 1 demonstrated encouraging safety &amp; immunogenicity for BNT162b2, supporting advancement to Phase 2/4</w:t>
      </w:r>
    </w:p>
    <w:p w14:paraId="09EC4740" w14:textId="23DB727D" w:rsidR="00EA60FA" w:rsidRDefault="00EA60FA" w:rsidP="00AB788A">
      <w:pPr>
        <w:pStyle w:val="NoSpacing"/>
        <w:numPr>
          <w:ilvl w:val="1"/>
          <w:numId w:val="1"/>
        </w:numPr>
      </w:pPr>
      <w:r>
        <w:lastRenderedPageBreak/>
        <w:t>Robust SARS-CoV-2 neutralization titers after 2 doses of BNT162b2 in Phase 1 exceed those in human convalescent panel (HCS)</w:t>
      </w:r>
    </w:p>
    <w:p w14:paraId="34C3E806" w14:textId="2A39C558" w:rsidR="00EA60FA" w:rsidRDefault="00EA60FA" w:rsidP="00AB788A">
      <w:pPr>
        <w:pStyle w:val="NoSpacing"/>
        <w:numPr>
          <w:ilvl w:val="1"/>
          <w:numId w:val="1"/>
        </w:numPr>
      </w:pPr>
      <w:r>
        <w:t>Phase 2/3 started July 22, 2020</w:t>
      </w:r>
    </w:p>
    <w:p w14:paraId="60B77F4E" w14:textId="77777777" w:rsidR="00EA60FA" w:rsidRDefault="00EA60FA" w:rsidP="00AB788A">
      <w:pPr>
        <w:pStyle w:val="NoSpacing"/>
        <w:numPr>
          <w:ilvl w:val="1"/>
          <w:numId w:val="1"/>
        </w:numPr>
      </w:pPr>
      <w:r>
        <w:t xml:space="preserve">One problem is needed to keep at specific temperature and thus special unit. </w:t>
      </w:r>
    </w:p>
    <w:p w14:paraId="593339FB" w14:textId="77777777" w:rsidR="00EA60FA" w:rsidRDefault="002E3A07" w:rsidP="00AB788A">
      <w:pPr>
        <w:pStyle w:val="NoSpacing"/>
        <w:numPr>
          <w:ilvl w:val="1"/>
          <w:numId w:val="1"/>
        </w:numPr>
      </w:pPr>
      <w:r>
        <w:t>CDC is working on the refrigeration of the vaccine to hopefully by-pass</w:t>
      </w:r>
      <w:r w:rsidR="00735434">
        <w:t xml:space="preserve"> the need for</w:t>
      </w:r>
      <w:r w:rsidR="004E7B93">
        <w:t xml:space="preserve"> a</w:t>
      </w:r>
      <w:r w:rsidR="00735434">
        <w:t xml:space="preserve"> separate unit</w:t>
      </w:r>
    </w:p>
    <w:p w14:paraId="0888550E" w14:textId="7C5049E0" w:rsidR="00E97134" w:rsidRDefault="00E97134" w:rsidP="00AB788A">
      <w:pPr>
        <w:pStyle w:val="NoSpacing"/>
        <w:numPr>
          <w:ilvl w:val="1"/>
          <w:numId w:val="1"/>
        </w:numPr>
      </w:pPr>
      <w:r>
        <w:t xml:space="preserve">The Pfizer vaccine is enrolling 19% </w:t>
      </w:r>
      <w:r w:rsidR="00AF7E94">
        <w:t>African American</w:t>
      </w:r>
      <w:r>
        <w:t xml:space="preserve"> and 4% Hispanic.</w:t>
      </w:r>
    </w:p>
    <w:p w14:paraId="2F2F1EAC" w14:textId="4944397F" w:rsidR="00AF7E94" w:rsidRDefault="00AF7E94" w:rsidP="00AF7E94">
      <w:pPr>
        <w:pStyle w:val="NoSpacing"/>
        <w:numPr>
          <w:ilvl w:val="0"/>
          <w:numId w:val="1"/>
        </w:numPr>
      </w:pPr>
      <w:r>
        <w:t>Safety of vaccines: several agencies follow vaccinations for safety such as VEARS</w:t>
      </w:r>
      <w:r w:rsidR="00D05006">
        <w:t>, CDC’s clinical immunization safety assessment (CISA)</w:t>
      </w:r>
      <w:r>
        <w:t xml:space="preserve"> </w:t>
      </w:r>
      <w:r w:rsidR="00D05006">
        <w:t>project, Vaccine data safety datalink (VDS), as well as state and local reporting agencies and many others. Current monitoring systems are in place to monitor the safety of COVID-19 vaccines.</w:t>
      </w:r>
    </w:p>
    <w:p w14:paraId="795A2455" w14:textId="65A97DFE" w:rsidR="00D05006" w:rsidRDefault="00D05006" w:rsidP="00AF7E94">
      <w:pPr>
        <w:pStyle w:val="NoSpacing"/>
        <w:numPr>
          <w:ilvl w:val="0"/>
          <w:numId w:val="1"/>
        </w:numPr>
      </w:pPr>
      <w:r>
        <w:t>Epidemiology:</w:t>
      </w:r>
      <w:r w:rsidR="008A5117">
        <w:t xml:space="preserve">23, 5,682,491 documented cases of Coronavirus infection and 176, 223 death in the US as of Aug </w:t>
      </w:r>
      <w:r w:rsidR="008A5117" w:rsidRPr="008A5117">
        <w:rPr>
          <w:noProof/>
        </w:rPr>
        <w:t>23</w:t>
      </w:r>
      <w:r w:rsidR="008A5117">
        <w:rPr>
          <w:noProof/>
        </w:rPr>
        <w:t>, 2020. The following chart indicates the high risk underlying medical conditions according to age:</w:t>
      </w:r>
    </w:p>
    <w:p w14:paraId="6EEAE812" w14:textId="539198F4" w:rsidR="00D05006" w:rsidRDefault="00D05006" w:rsidP="00D05006">
      <w:pPr>
        <w:pStyle w:val="NoSpacing"/>
        <w:ind w:left="1080"/>
      </w:pPr>
      <w:r w:rsidRPr="00AE2122">
        <w:rPr>
          <w:noProof/>
        </w:rPr>
        <w:drawing>
          <wp:inline distT="0" distB="0" distL="0" distR="0" wp14:anchorId="44D53A5B" wp14:editId="133746F3">
            <wp:extent cx="3461213" cy="1696956"/>
            <wp:effectExtent l="0" t="0" r="635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2310" cy="17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83A81" w14:textId="12017679" w:rsidR="008A5117" w:rsidRDefault="008A5117" w:rsidP="008A5117">
      <w:pPr>
        <w:pStyle w:val="NoSpacing"/>
        <w:numPr>
          <w:ilvl w:val="0"/>
          <w:numId w:val="1"/>
        </w:numPr>
      </w:pPr>
      <w:r>
        <w:t>Prioritizing the COVID Vaccine when available: below is the present possible situation, but not finalized.</w:t>
      </w:r>
      <w:r w:rsidRPr="008A5117">
        <w:rPr>
          <w:noProof/>
        </w:rPr>
        <w:t xml:space="preserve"> </w:t>
      </w:r>
      <w:r w:rsidRPr="007C7B6B">
        <w:rPr>
          <w:noProof/>
        </w:rPr>
        <w:drawing>
          <wp:inline distT="0" distB="0" distL="0" distR="0" wp14:anchorId="50565A64" wp14:editId="1B08F6B5">
            <wp:extent cx="4703843" cy="1772463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1024" cy="178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908BE" w14:textId="4DD13445" w:rsidR="002411B4" w:rsidRDefault="002411B4" w:rsidP="00E13C52">
      <w:pPr>
        <w:pStyle w:val="NoSpacing"/>
        <w:rPr>
          <w:b/>
          <w:bCs/>
        </w:rPr>
      </w:pPr>
    </w:p>
    <w:p w14:paraId="6DCF0D56" w14:textId="10EA40E5" w:rsidR="002411B4" w:rsidRPr="00D7646B" w:rsidRDefault="002411B4" w:rsidP="00E13C52">
      <w:pPr>
        <w:pStyle w:val="NoSpacing"/>
      </w:pPr>
      <w:r w:rsidRPr="00D7646B">
        <w:t>Next 2020 ACIP Virtual Meeting Dates (tentative)</w:t>
      </w:r>
    </w:p>
    <w:p w14:paraId="043D0601" w14:textId="78460232" w:rsidR="002411B4" w:rsidRPr="00D7646B" w:rsidRDefault="002411B4" w:rsidP="00E13C52">
      <w:pPr>
        <w:pStyle w:val="NoSpacing"/>
      </w:pPr>
      <w:r w:rsidRPr="00D7646B">
        <w:tab/>
        <w:t>September 22, 2020</w:t>
      </w:r>
    </w:p>
    <w:p w14:paraId="30CF3465" w14:textId="0897049A" w:rsidR="002411B4" w:rsidRPr="00D7646B" w:rsidRDefault="002411B4" w:rsidP="00E13C52">
      <w:pPr>
        <w:pStyle w:val="NoSpacing"/>
      </w:pPr>
      <w:r w:rsidRPr="00D7646B">
        <w:tab/>
        <w:t>October 28-29, 2020</w:t>
      </w:r>
    </w:p>
    <w:p w14:paraId="1280884C" w14:textId="67F9969C" w:rsidR="002411B4" w:rsidRDefault="002411B4" w:rsidP="00E13C52">
      <w:pPr>
        <w:pStyle w:val="NoSpacing"/>
        <w:rPr>
          <w:b/>
          <w:bCs/>
        </w:rPr>
      </w:pPr>
    </w:p>
    <w:p w14:paraId="6D13D80E" w14:textId="77777777" w:rsidR="002411B4" w:rsidRPr="00E13C52" w:rsidRDefault="002411B4" w:rsidP="00E13C52">
      <w:pPr>
        <w:pStyle w:val="NoSpacing"/>
        <w:rPr>
          <w:b/>
          <w:bCs/>
        </w:rPr>
      </w:pPr>
    </w:p>
    <w:p w14:paraId="5C7B187B" w14:textId="24984BD5" w:rsidR="007C7B6B" w:rsidRPr="00FC6FB6" w:rsidRDefault="007C7B6B" w:rsidP="00FC6FB6">
      <w:pPr>
        <w:pStyle w:val="NoSpacing"/>
      </w:pPr>
    </w:p>
    <w:sectPr w:rsidR="007C7B6B" w:rsidRPr="00FC6F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4A645" w14:textId="77777777" w:rsidR="0095385C" w:rsidRDefault="0095385C" w:rsidP="00955C6B">
      <w:pPr>
        <w:spacing w:after="0" w:line="240" w:lineRule="auto"/>
      </w:pPr>
      <w:r>
        <w:separator/>
      </w:r>
    </w:p>
  </w:endnote>
  <w:endnote w:type="continuationSeparator" w:id="0">
    <w:p w14:paraId="1F1B39B3" w14:textId="77777777" w:rsidR="0095385C" w:rsidRDefault="0095385C" w:rsidP="0095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2C863" w14:textId="77777777" w:rsidR="00955C6B" w:rsidRDefault="00955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3B535" w14:textId="77777777" w:rsidR="00955C6B" w:rsidRPr="00955C6B" w:rsidRDefault="00955C6B" w:rsidP="00955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CF832" w14:textId="77777777" w:rsidR="00955C6B" w:rsidRDefault="00955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52A4F" w14:textId="77777777" w:rsidR="0095385C" w:rsidRDefault="0095385C" w:rsidP="00955C6B">
      <w:pPr>
        <w:spacing w:after="0" w:line="240" w:lineRule="auto"/>
      </w:pPr>
      <w:r>
        <w:separator/>
      </w:r>
    </w:p>
  </w:footnote>
  <w:footnote w:type="continuationSeparator" w:id="0">
    <w:p w14:paraId="3FFCAB19" w14:textId="77777777" w:rsidR="0095385C" w:rsidRDefault="0095385C" w:rsidP="0095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F9040" w14:textId="77777777" w:rsidR="00955C6B" w:rsidRDefault="00955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728EE" w14:textId="77777777" w:rsidR="00955C6B" w:rsidRPr="008F6958" w:rsidRDefault="00955C6B" w:rsidP="008F6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C636A" w14:textId="77777777" w:rsidR="00955C6B" w:rsidRDefault="0095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D17AC"/>
    <w:multiLevelType w:val="hybridMultilevel"/>
    <w:tmpl w:val="AA54DF7E"/>
    <w:lvl w:ilvl="0" w:tplc="7DD0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B6"/>
    <w:rsid w:val="00024DC5"/>
    <w:rsid w:val="0023448A"/>
    <w:rsid w:val="002411B4"/>
    <w:rsid w:val="002E3A07"/>
    <w:rsid w:val="003858CB"/>
    <w:rsid w:val="004E7B93"/>
    <w:rsid w:val="005741AE"/>
    <w:rsid w:val="00735434"/>
    <w:rsid w:val="007635B0"/>
    <w:rsid w:val="0076661E"/>
    <w:rsid w:val="007C7B6B"/>
    <w:rsid w:val="008A5117"/>
    <w:rsid w:val="008F6958"/>
    <w:rsid w:val="0095385C"/>
    <w:rsid w:val="00955C6B"/>
    <w:rsid w:val="009665FB"/>
    <w:rsid w:val="00A319D9"/>
    <w:rsid w:val="00AB788A"/>
    <w:rsid w:val="00AF7E94"/>
    <w:rsid w:val="00C0577D"/>
    <w:rsid w:val="00C13D54"/>
    <w:rsid w:val="00C6465F"/>
    <w:rsid w:val="00C71694"/>
    <w:rsid w:val="00C85575"/>
    <w:rsid w:val="00D05006"/>
    <w:rsid w:val="00D06C27"/>
    <w:rsid w:val="00D5359E"/>
    <w:rsid w:val="00D7646B"/>
    <w:rsid w:val="00E13C52"/>
    <w:rsid w:val="00E97134"/>
    <w:rsid w:val="00EA60FA"/>
    <w:rsid w:val="00F96968"/>
    <w:rsid w:val="00FC670F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A90B"/>
  <w15:chartTrackingRefBased/>
  <w15:docId w15:val="{75E0E35B-2B58-439E-A332-22278390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F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6B"/>
  </w:style>
  <w:style w:type="paragraph" w:styleId="Footer">
    <w:name w:val="footer"/>
    <w:basedOn w:val="Normal"/>
    <w:link w:val="FooterChar"/>
    <w:uiPriority w:val="99"/>
    <w:unhideWhenUsed/>
    <w:rsid w:val="0095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Grogg</dc:creator>
  <cp:keywords/>
  <dc:description/>
  <cp:lastModifiedBy>Stanley Grogg</cp:lastModifiedBy>
  <cp:revision>10</cp:revision>
  <dcterms:created xsi:type="dcterms:W3CDTF">2020-08-26T16:12:00Z</dcterms:created>
  <dcterms:modified xsi:type="dcterms:W3CDTF">2020-08-28T00:19:00Z</dcterms:modified>
</cp:coreProperties>
</file>